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3885"/>
        </w:tabs>
      </w:pPr>
      <w:r>
        <w:t>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act for the above named client who was involved in a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accident on the [UDF:AccidentDate], thereby suffering personal injuries as a result.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[SYS:dpopup('PIABAssessment')]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matter, and would be obliged if you would let me know if you are in a position to draft proceedings and advise on quantum.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pPr>
        <w:jc w:val="both"/>
      </w:pPr>
      <w:r>
        <w:t>[MAT:FeName]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B5BBC-B73D-46D3-B510-8BAAF639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7</cp:revision>
  <cp:lastPrinted>2013-08-22T11:04:00Z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89474</vt:lpwstr>
  </property>
  <property fmtid="{D5CDD505-2E9C-101B-9397-08002B2CF9AE}" pid="3" name="KeyhouseMatterReference">
    <vt:lpwstr>LAN004/0001</vt:lpwstr>
  </property>
</Properties>
</file>